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A2565" w:rsidRPr="00B80BB7" w:rsidRDefault="00B80BB7" w:rsidP="00B80BB7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s-MX"/>
        </w:rPr>
      </w:pPr>
      <w:r w:rsidRPr="00B80BB7">
        <w:rPr>
          <w:rFonts w:ascii="Times New Roman" w:hAnsi="Times New Roman" w:cs="Times New Roman"/>
          <w:b/>
          <w:bCs/>
          <w:sz w:val="22"/>
          <w:szCs w:val="22"/>
          <w:lang w:val="es-MX"/>
        </w:rPr>
        <w:t>UNIVERSIDAD AUTÓNOMA DE BUCARAMANGA</w:t>
      </w:r>
    </w:p>
    <w:p w:rsidR="00B80BB7" w:rsidRPr="00B80BB7" w:rsidRDefault="00B80BB7" w:rsidP="00B80BB7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s-MX"/>
        </w:rPr>
      </w:pPr>
      <w:r w:rsidRPr="00B80BB7">
        <w:rPr>
          <w:rFonts w:ascii="Times New Roman" w:hAnsi="Times New Roman" w:cs="Times New Roman"/>
          <w:b/>
          <w:bCs/>
          <w:sz w:val="22"/>
          <w:szCs w:val="22"/>
          <w:lang w:val="es-MX"/>
        </w:rPr>
        <w:t>ESPECIALIZACIÓN DERECHO DE FAMILIA</w:t>
      </w:r>
    </w:p>
    <w:p w:rsidR="00B80BB7" w:rsidRPr="00B80BB7" w:rsidRDefault="00B80BB7" w:rsidP="00EE5713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s-MX"/>
        </w:rPr>
      </w:pPr>
      <w:r w:rsidRPr="00B80BB7">
        <w:rPr>
          <w:rFonts w:ascii="Times New Roman" w:hAnsi="Times New Roman" w:cs="Times New Roman"/>
          <w:b/>
          <w:bCs/>
          <w:sz w:val="22"/>
          <w:szCs w:val="22"/>
          <w:lang w:val="es-MX"/>
        </w:rPr>
        <w:t>Agosto 21 de 2025</w:t>
      </w:r>
    </w:p>
    <w:p w:rsidR="00B80BB7" w:rsidRPr="00B80BB7" w:rsidRDefault="00B80BB7" w:rsidP="00B80BB7">
      <w:pPr>
        <w:rPr>
          <w:rFonts w:ascii="Times New Roman" w:hAnsi="Times New Roman" w:cs="Times New Roman"/>
          <w:sz w:val="22"/>
          <w:szCs w:val="22"/>
        </w:rPr>
      </w:pPr>
    </w:p>
    <w:p w:rsidR="00B80BB7" w:rsidRPr="00B80BB7" w:rsidRDefault="00B80BB7" w:rsidP="00B80BB7">
      <w:pPr>
        <w:pStyle w:val="Prrafodelista"/>
        <w:numPr>
          <w:ilvl w:val="0"/>
          <w:numId w:val="1"/>
        </w:numPr>
        <w:spacing w:after="200" w:line="360" w:lineRule="auto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B80BB7">
        <w:rPr>
          <w:rFonts w:ascii="Times New Roman" w:hAnsi="Times New Roman" w:cs="Times New Roman"/>
          <w:b/>
          <w:sz w:val="22"/>
          <w:szCs w:val="22"/>
          <w:lang w:val="es-ES"/>
        </w:rPr>
        <w:t>IDENTIFICACIÓN DE A MATERIA</w:t>
      </w:r>
    </w:p>
    <w:p w:rsidR="00B80BB7" w:rsidRPr="00B80BB7" w:rsidRDefault="00B80BB7" w:rsidP="00B80BB7">
      <w:pPr>
        <w:spacing w:line="360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80BB7">
        <w:rPr>
          <w:rFonts w:ascii="Times New Roman" w:hAnsi="Times New Roman" w:cs="Times New Roman"/>
          <w:sz w:val="22"/>
          <w:szCs w:val="22"/>
        </w:rPr>
        <w:t>Materia:</w:t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  <w:t>Módulo de Legislación Familiar</w:t>
      </w:r>
    </w:p>
    <w:p w:rsidR="00B80BB7" w:rsidRPr="00B80BB7" w:rsidRDefault="00B80BB7" w:rsidP="00B80BB7">
      <w:pPr>
        <w:spacing w:line="360" w:lineRule="auto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B80BB7">
        <w:rPr>
          <w:rFonts w:ascii="Times New Roman" w:hAnsi="Times New Roman" w:cs="Times New Roman"/>
          <w:sz w:val="22"/>
          <w:szCs w:val="22"/>
        </w:rPr>
        <w:t>Profesora:</w:t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  <w:t>Mg. Mary Verjel Causado</w:t>
      </w:r>
    </w:p>
    <w:p w:rsidR="00B80BB7" w:rsidRPr="00B80BB7" w:rsidRDefault="00B80BB7" w:rsidP="00B80BB7">
      <w:pPr>
        <w:spacing w:line="360" w:lineRule="auto"/>
        <w:ind w:left="4953" w:hanging="4245"/>
        <w:jc w:val="both"/>
        <w:rPr>
          <w:rFonts w:ascii="Times New Roman" w:hAnsi="Times New Roman" w:cs="Times New Roman"/>
          <w:sz w:val="22"/>
          <w:szCs w:val="22"/>
        </w:rPr>
      </w:pPr>
      <w:r w:rsidRPr="00B80BB7">
        <w:rPr>
          <w:rFonts w:ascii="Times New Roman" w:hAnsi="Times New Roman" w:cs="Times New Roman"/>
          <w:sz w:val="22"/>
          <w:szCs w:val="22"/>
        </w:rPr>
        <w:t xml:space="preserve">Campo de Formación: </w:t>
      </w:r>
      <w:r w:rsidRPr="00B80BB7">
        <w:rPr>
          <w:rFonts w:ascii="Times New Roman" w:hAnsi="Times New Roman" w:cs="Times New Roman"/>
          <w:sz w:val="22"/>
          <w:szCs w:val="22"/>
        </w:rPr>
        <w:tab/>
      </w:r>
      <w:r w:rsidRPr="00B80BB7">
        <w:rPr>
          <w:rFonts w:ascii="Times New Roman" w:hAnsi="Times New Roman" w:cs="Times New Roman"/>
          <w:sz w:val="22"/>
          <w:szCs w:val="22"/>
        </w:rPr>
        <w:tab/>
        <w:t>Postgrado en Derecho de Familia</w:t>
      </w:r>
    </w:p>
    <w:p w:rsidR="00B80BB7" w:rsidRPr="00B80BB7" w:rsidRDefault="00B80BB7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</w:p>
    <w:p w:rsidR="00B80BB7" w:rsidRPr="00B80BB7" w:rsidRDefault="00B80BB7" w:rsidP="00B80BB7">
      <w:pPr>
        <w:pStyle w:val="Prrafodelista"/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B80BB7">
        <w:rPr>
          <w:rFonts w:ascii="Times New Roman" w:hAnsi="Times New Roman" w:cs="Times New Roman"/>
          <w:b/>
          <w:sz w:val="22"/>
          <w:szCs w:val="22"/>
          <w:lang w:val="es-ES"/>
        </w:rPr>
        <w:t>OBJETIVOS GENERALES:</w:t>
      </w:r>
    </w:p>
    <w:p w:rsidR="00B80BB7" w:rsidRPr="00B80BB7" w:rsidRDefault="00B80BB7" w:rsidP="00B80BB7">
      <w:pPr>
        <w:pStyle w:val="Prrafodelista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>Estudiar el ordenamiento jurídico de Colombia relativo a los niños y adolescentes dentro del actual ámbito constitucional y legal, resaltando el significado de las reformas introducidas a la luz de la legislación internacional.</w:t>
      </w:r>
    </w:p>
    <w:p w:rsidR="00B80BB7" w:rsidRPr="00B80BB7" w:rsidRDefault="00B80BB7" w:rsidP="00B80BB7">
      <w:pPr>
        <w:pStyle w:val="Prrafodelista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B80BB7" w:rsidRPr="00B80BB7" w:rsidRDefault="00B80BB7" w:rsidP="00B80BB7">
      <w:pPr>
        <w:pStyle w:val="Prrafodelista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>Reflexionar acerca de la protección legal que se le otorga a los niños</w:t>
      </w:r>
      <w:r w:rsidR="00A353CF">
        <w:rPr>
          <w:rFonts w:ascii="Times New Roman" w:eastAsia="Times New Roman" w:hAnsi="Times New Roman" w:cs="Times New Roman"/>
          <w:sz w:val="22"/>
          <w:szCs w:val="22"/>
          <w:lang w:eastAsia="es-CO"/>
        </w:rPr>
        <w:t>, niñas</w:t>
      </w: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 y adolescentes en el Derecho Comparado, con el fin de promover el perfeccionamiento de la legislación y la orientación de las políticas públicas.</w:t>
      </w:r>
    </w:p>
    <w:p w:rsidR="00B80BB7" w:rsidRPr="00B80BB7" w:rsidRDefault="00B80BB7" w:rsidP="00B80BB7">
      <w:pPr>
        <w:pStyle w:val="Prrafodelista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B80BB7" w:rsidRPr="00B80BB7" w:rsidRDefault="00B80BB7" w:rsidP="00B80BB7">
      <w:pPr>
        <w:pStyle w:val="Prrafodelist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B80BB7">
        <w:rPr>
          <w:rFonts w:ascii="Times New Roman" w:eastAsia="Times New Roman" w:hAnsi="Times New Roman" w:cs="Times New Roman"/>
          <w:b/>
          <w:bCs/>
          <w:sz w:val="22"/>
          <w:szCs w:val="22"/>
          <w:lang w:eastAsia="es-CO"/>
        </w:rPr>
        <w:t>OBJETIVOS ESPECÍFICOS</w:t>
      </w: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: </w:t>
      </w:r>
    </w:p>
    <w:p w:rsidR="00B80BB7" w:rsidRPr="00B80BB7" w:rsidRDefault="00B80BB7" w:rsidP="00B80BB7">
      <w:pPr>
        <w:pStyle w:val="Prrafodelista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>Destacar la complejidad del manejo de los problemas que conciernen a los niños</w:t>
      </w:r>
      <w:r w:rsidR="00A353CF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, niñas y adolescentes, </w:t>
      </w: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>y los conocimientos que debe poseer todo profesional que se interese en asuntos relativos a su protección jurídica.</w:t>
      </w:r>
    </w:p>
    <w:p w:rsidR="00B80BB7" w:rsidRPr="00B80BB7" w:rsidRDefault="00B80BB7" w:rsidP="00B80BB7">
      <w:pPr>
        <w:pStyle w:val="Prrafodelista"/>
        <w:ind w:left="1080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B80BB7" w:rsidRDefault="00B80BB7" w:rsidP="00B80BB7">
      <w:pPr>
        <w:pStyle w:val="Prrafodelista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>Sensibilizar al profesional en Derecho acerca de la necesidad e importancia del trabajo interinstitucional e intersectorial para enfrentar eficientemente la atención de los niños y adolescentes.</w:t>
      </w:r>
    </w:p>
    <w:p w:rsidR="00A353CF" w:rsidRPr="00A353CF" w:rsidRDefault="00A353CF" w:rsidP="00A353CF">
      <w:pPr>
        <w:pStyle w:val="Prrafodelista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A353CF" w:rsidRPr="00B80BB7" w:rsidRDefault="00A353CF" w:rsidP="00A353CF">
      <w:pPr>
        <w:pStyle w:val="Prrafodelista"/>
        <w:ind w:left="1430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B80BB7" w:rsidRPr="00B80BB7" w:rsidRDefault="00B80BB7" w:rsidP="00B80BB7">
      <w:pPr>
        <w:pStyle w:val="Prrafodelista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>Concienciar a los participantes acerca de la trascendencia de abordar la problemática jurídico-institucional referente a los niños</w:t>
      </w:r>
      <w:r w:rsidR="00A353CF">
        <w:rPr>
          <w:rFonts w:ascii="Times New Roman" w:eastAsia="Times New Roman" w:hAnsi="Times New Roman" w:cs="Times New Roman"/>
          <w:sz w:val="22"/>
          <w:szCs w:val="22"/>
          <w:lang w:eastAsia="es-CO"/>
        </w:rPr>
        <w:t>, niñas</w:t>
      </w:r>
      <w:r w:rsidRPr="00B80BB7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 y adolescentes, desde una perspectiva holística, que les permita considerar las circunstancias reales y sus datos objetivos, con la finalidad de tomar decisiones acertadas</w:t>
      </w:r>
      <w:r w:rsidR="005555B6">
        <w:rPr>
          <w:rFonts w:ascii="Times New Roman" w:eastAsia="Times New Roman" w:hAnsi="Times New Roman" w:cs="Times New Roman"/>
          <w:sz w:val="22"/>
          <w:szCs w:val="22"/>
          <w:lang w:eastAsia="es-CO"/>
        </w:rPr>
        <w:t>, a través de la socialización de diversas sentencias de las Altas Cortes Colombianas.</w:t>
      </w:r>
    </w:p>
    <w:p w:rsidR="00B80BB7" w:rsidRPr="00B80BB7" w:rsidRDefault="00B80BB7" w:rsidP="00B80BB7">
      <w:pPr>
        <w:pStyle w:val="Prrafodelista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B80BB7" w:rsidRDefault="00B80BB7" w:rsidP="00B80BB7">
      <w:pPr>
        <w:spacing w:after="200"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</w:p>
    <w:p w:rsidR="0072273F" w:rsidRPr="00B80BB7" w:rsidRDefault="0072273F" w:rsidP="00B80BB7">
      <w:pPr>
        <w:spacing w:after="200"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</w:p>
    <w:p w:rsidR="00B80BB7" w:rsidRPr="00EE5713" w:rsidRDefault="00B80BB7" w:rsidP="00EE5713">
      <w:pPr>
        <w:pStyle w:val="Prrafodelista"/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EE5713">
        <w:rPr>
          <w:rFonts w:ascii="Times New Roman" w:hAnsi="Times New Roman" w:cs="Times New Roman"/>
          <w:b/>
          <w:sz w:val="22"/>
          <w:szCs w:val="22"/>
          <w:lang w:val="es-ES"/>
        </w:rPr>
        <w:lastRenderedPageBreak/>
        <w:t>PROGRAMACIÓN DE LAS ACTIVIDADES:</w:t>
      </w:r>
    </w:p>
    <w:p w:rsidR="005B2ABE" w:rsidRPr="0072273F" w:rsidRDefault="00B80BB7" w:rsidP="00B80BB7">
      <w:pPr>
        <w:pStyle w:val="Prrafodelista"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72273F">
        <w:rPr>
          <w:rFonts w:ascii="Times New Roman" w:hAnsi="Times New Roman" w:cs="Times New Roman"/>
          <w:b/>
          <w:sz w:val="22"/>
          <w:szCs w:val="22"/>
          <w:lang w:val="es-ES"/>
        </w:rPr>
        <w:t>Jueves 21 de agosto de 2025:  Hora: 10:</w:t>
      </w:r>
      <w:r w:rsidR="0094262A" w:rsidRPr="0072273F">
        <w:rPr>
          <w:rFonts w:ascii="Times New Roman" w:hAnsi="Times New Roman" w:cs="Times New Roman"/>
          <w:b/>
          <w:sz w:val="22"/>
          <w:szCs w:val="22"/>
          <w:lang w:val="es-ES"/>
        </w:rPr>
        <w:t xml:space="preserve">00 </w:t>
      </w:r>
      <w:r w:rsidR="000B5816" w:rsidRPr="0072273F">
        <w:rPr>
          <w:rFonts w:ascii="Times New Roman" w:hAnsi="Times New Roman" w:cs="Times New Roman"/>
          <w:b/>
          <w:sz w:val="22"/>
          <w:szCs w:val="22"/>
          <w:lang w:val="es-ES"/>
        </w:rPr>
        <w:t>– 1</w:t>
      </w:r>
      <w:r w:rsidR="0094262A" w:rsidRPr="0072273F">
        <w:rPr>
          <w:rFonts w:ascii="Times New Roman" w:hAnsi="Times New Roman" w:cs="Times New Roman"/>
          <w:b/>
          <w:sz w:val="22"/>
          <w:szCs w:val="22"/>
          <w:lang w:val="es-ES"/>
        </w:rPr>
        <w:t>1</w:t>
      </w:r>
      <w:r w:rsidR="000B5816" w:rsidRPr="0072273F">
        <w:rPr>
          <w:rFonts w:ascii="Times New Roman" w:hAnsi="Times New Roman" w:cs="Times New Roman"/>
          <w:b/>
          <w:sz w:val="22"/>
          <w:szCs w:val="22"/>
          <w:lang w:val="es-ES"/>
        </w:rPr>
        <w:t>:00 medio día</w:t>
      </w:r>
      <w:r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:  presentación de </w:t>
      </w:r>
      <w:r w:rsidR="000B5816"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las INFOGRAFÍAS DE LA EVOLUCIÓN </w:t>
      </w:r>
      <w:r w:rsidR="000B5816" w:rsidRPr="0072273F">
        <w:rPr>
          <w:rFonts w:ascii="Times New Roman" w:eastAsia="Times New Roman" w:hAnsi="Times New Roman" w:cs="Times New Roman"/>
          <w:sz w:val="22"/>
          <w:szCs w:val="22"/>
          <w:lang w:eastAsia="es-CO"/>
        </w:rPr>
        <w:t>LEGISLATIVA COLOMBIANA EN TORNO A LA PROTECCIÓN JURÍDICA DE LOS NIÑOS, NIÑAS Y ADOLESCENTES.</w:t>
      </w:r>
      <w:r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</w:t>
      </w:r>
      <w:r w:rsidR="000B5816"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Para lo cual integrarán equipos de cinco (5) personas mínimo y máximo seis (6) </w:t>
      </w:r>
      <w:r w:rsidR="005B2ABE" w:rsidRPr="0072273F">
        <w:rPr>
          <w:rFonts w:ascii="Times New Roman" w:hAnsi="Times New Roman" w:cs="Times New Roman"/>
          <w:bCs/>
          <w:sz w:val="22"/>
          <w:szCs w:val="22"/>
          <w:lang w:val="es-ES"/>
        </w:rPr>
        <w:t>personas.</w:t>
      </w:r>
    </w:p>
    <w:p w:rsidR="00B43BB7" w:rsidRPr="0072273F" w:rsidRDefault="005B2ABE" w:rsidP="00B43BB7">
      <w:pPr>
        <w:pStyle w:val="Prrafodelista"/>
        <w:spacing w:after="200" w:line="360" w:lineRule="auto"/>
        <w:ind w:left="1080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Por cada equipo presentará una infografía, </w:t>
      </w:r>
      <w:r w:rsidR="008E3BCC"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contando como máximo </w:t>
      </w:r>
      <w:r w:rsidR="00B43BB7"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quince </w:t>
      </w:r>
      <w:r w:rsidR="008E3BCC" w:rsidRPr="0072273F">
        <w:rPr>
          <w:rFonts w:ascii="Times New Roman" w:hAnsi="Times New Roman" w:cs="Times New Roman"/>
          <w:bCs/>
          <w:sz w:val="22"/>
          <w:szCs w:val="22"/>
          <w:lang w:val="es-ES"/>
        </w:rPr>
        <w:t>minutos (</w:t>
      </w:r>
      <w:r w:rsidR="00B43BB7" w:rsidRPr="0072273F">
        <w:rPr>
          <w:rFonts w:ascii="Times New Roman" w:hAnsi="Times New Roman" w:cs="Times New Roman"/>
          <w:bCs/>
          <w:sz w:val="22"/>
          <w:szCs w:val="22"/>
          <w:lang w:val="es-ES"/>
        </w:rPr>
        <w:t>15</w:t>
      </w:r>
      <w:r w:rsidR="008E3BCC" w:rsidRPr="0072273F">
        <w:rPr>
          <w:rFonts w:ascii="Times New Roman" w:hAnsi="Times New Roman" w:cs="Times New Roman"/>
          <w:bCs/>
          <w:sz w:val="22"/>
          <w:szCs w:val="22"/>
          <w:lang w:val="es-ES"/>
        </w:rPr>
        <w:t>’</w:t>
      </w:r>
      <w:r w:rsidR="0072273F" w:rsidRPr="0072273F">
        <w:rPr>
          <w:rFonts w:ascii="Times New Roman" w:hAnsi="Times New Roman" w:cs="Times New Roman"/>
          <w:bCs/>
          <w:sz w:val="22"/>
          <w:szCs w:val="22"/>
          <w:lang w:val="es-ES"/>
        </w:rPr>
        <w:t>)</w:t>
      </w:r>
      <w:r w:rsidR="008E3BCC"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</w:t>
      </w:r>
      <w:r w:rsidR="0072273F"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para </w:t>
      </w:r>
      <w:r w:rsidR="008E3BCC"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cada equipo; </w:t>
      </w:r>
      <w:r w:rsidRPr="0072273F">
        <w:rPr>
          <w:rFonts w:ascii="Times New Roman" w:hAnsi="Times New Roman" w:cs="Times New Roman"/>
          <w:bCs/>
          <w:sz w:val="22"/>
          <w:szCs w:val="22"/>
          <w:lang w:val="es-ES"/>
        </w:rPr>
        <w:t>y al finalizar enviará</w:t>
      </w:r>
      <w:r w:rsidR="0072273F" w:rsidRPr="0072273F">
        <w:rPr>
          <w:rFonts w:ascii="Times New Roman" w:hAnsi="Times New Roman" w:cs="Times New Roman"/>
          <w:bCs/>
          <w:sz w:val="22"/>
          <w:szCs w:val="22"/>
          <w:lang w:val="es-ES"/>
        </w:rPr>
        <w:t>n</w:t>
      </w:r>
      <w:r w:rsidRPr="0072273F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al correo de la docente </w:t>
      </w:r>
      <w:hyperlink r:id="rId5" w:history="1">
        <w:r w:rsidRPr="0072273F">
          <w:rPr>
            <w:rStyle w:val="Hipervnculo"/>
            <w:rFonts w:ascii="Times New Roman" w:hAnsi="Times New Roman" w:cs="Times New Roman"/>
            <w:b/>
            <w:color w:val="auto"/>
            <w:sz w:val="22"/>
            <w:szCs w:val="22"/>
            <w:u w:val="none"/>
            <w:lang w:val="es-ES"/>
          </w:rPr>
          <w:t>mvergel@unab.edu.co</w:t>
        </w:r>
      </w:hyperlink>
      <w:r w:rsidR="0072273F" w:rsidRPr="0072273F">
        <w:rPr>
          <w:rStyle w:val="Hipervnculo"/>
          <w:rFonts w:ascii="Times New Roman" w:hAnsi="Times New Roman" w:cs="Times New Roman"/>
          <w:b/>
          <w:color w:val="auto"/>
          <w:sz w:val="22"/>
          <w:szCs w:val="22"/>
          <w:u w:val="none"/>
          <w:lang w:val="es-ES"/>
        </w:rPr>
        <w:t xml:space="preserve"> </w:t>
      </w:r>
      <w:r w:rsidR="0072273F" w:rsidRPr="0072273F">
        <w:rPr>
          <w:rStyle w:val="Hipervnculo"/>
          <w:rFonts w:ascii="Times New Roman" w:hAnsi="Times New Roman" w:cs="Times New Roman"/>
          <w:bCs/>
          <w:color w:val="auto"/>
          <w:sz w:val="22"/>
          <w:szCs w:val="22"/>
          <w:u w:val="none"/>
          <w:lang w:val="es-ES"/>
        </w:rPr>
        <w:t>la infografía expuesta en clase.</w:t>
      </w:r>
    </w:p>
    <w:p w:rsidR="00B43BB7" w:rsidRDefault="00B43BB7" w:rsidP="00B43BB7">
      <w:pPr>
        <w:pStyle w:val="Prrafodelista"/>
        <w:spacing w:after="200" w:line="360" w:lineRule="auto"/>
        <w:ind w:left="1080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</w:p>
    <w:p w:rsidR="0072273F" w:rsidRPr="0072273F" w:rsidRDefault="0094262A" w:rsidP="0094262A">
      <w:pPr>
        <w:pStyle w:val="Prrafodelista"/>
        <w:numPr>
          <w:ilvl w:val="0"/>
          <w:numId w:val="2"/>
        </w:num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2273F">
        <w:rPr>
          <w:rStyle w:val="Textoennegrita"/>
          <w:rFonts w:ascii="Times New Roman" w:hAnsi="Times New Roman" w:cs="Times New Roman"/>
          <w:color w:val="000000"/>
          <w:sz w:val="22"/>
          <w:szCs w:val="22"/>
        </w:rPr>
        <w:t>Jueves 21 de agosto de 2025 Hora: 11:00 – 12:00 medio día</w:t>
      </w:r>
      <w:r w:rsidRPr="0072273F">
        <w:rPr>
          <w:rStyle w:val="Textoennegrita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. </w:t>
      </w:r>
      <w:r w:rsidR="00B43BB7" w:rsidRPr="0072273F">
        <w:rPr>
          <w:rStyle w:val="Textoennegrita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La protección jurídica de los niños, niñas y adolescentes en </w:t>
      </w:r>
      <w:r w:rsidR="00C95341" w:rsidRPr="0072273F">
        <w:rPr>
          <w:rStyle w:val="Textoennegrita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la Corte Interamericana de Derechos Humanos (CIDH) </w:t>
      </w:r>
      <w:r w:rsidR="0072273F">
        <w:rPr>
          <w:rStyle w:val="Textoennegrita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CASO FORNERON </w:t>
      </w:r>
      <w:r w:rsidR="0072273F">
        <w:rPr>
          <w:rFonts w:ascii="Times New Roman" w:hAnsi="Times New Roman" w:cs="Times New Roman"/>
          <w:color w:val="000000"/>
          <w:sz w:val="22"/>
          <w:szCs w:val="22"/>
        </w:rPr>
        <w:t>E</w:t>
      </w:r>
      <w:r w:rsidR="0072273F" w:rsidRPr="0072273F">
        <w:rPr>
          <w:rFonts w:ascii="Times New Roman" w:hAnsi="Times New Roman" w:cs="Times New Roman"/>
          <w:color w:val="000000"/>
          <w:sz w:val="22"/>
          <w:szCs w:val="22"/>
        </w:rPr>
        <w:t xml:space="preserve"> HIJA VS. ARGENTINA SENTENCIA DE 27 DE ABRIL DE 2012 </w:t>
      </w:r>
    </w:p>
    <w:p w:rsidR="0072273F" w:rsidRDefault="0072273F" w:rsidP="0072273F">
      <w:pPr>
        <w:pStyle w:val="Prrafodelista"/>
        <w:tabs>
          <w:tab w:val="center" w:pos="4419"/>
          <w:tab w:val="left" w:pos="6486"/>
        </w:tabs>
        <w:ind w:left="1080"/>
        <w:jc w:val="both"/>
        <w:rPr>
          <w:rFonts w:ascii="Times New Roman" w:hAnsi="Times New Roman" w:cs="Times New Roman"/>
          <w:sz w:val="22"/>
          <w:szCs w:val="22"/>
        </w:rPr>
      </w:pPr>
      <w:hyperlink r:id="rId6" w:history="1">
        <w:r w:rsidRPr="00333926">
          <w:rPr>
            <w:rStyle w:val="Hipervnculo"/>
            <w:rFonts w:ascii="Times New Roman" w:hAnsi="Times New Roman" w:cs="Times New Roman"/>
            <w:sz w:val="22"/>
            <w:szCs w:val="22"/>
          </w:rPr>
          <w:t>https://corteidh.or.cr/docs/casos/articulos/seriec_242_esp.pdf</w:t>
        </w:r>
      </w:hyperlink>
    </w:p>
    <w:p w:rsidR="0094262A" w:rsidRPr="0072273F" w:rsidRDefault="0094262A" w:rsidP="0072273F">
      <w:pPr>
        <w:pStyle w:val="Prrafodelista"/>
        <w:tabs>
          <w:tab w:val="center" w:pos="4419"/>
          <w:tab w:val="left" w:pos="6486"/>
        </w:tabs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72273F">
        <w:rPr>
          <w:rFonts w:ascii="Times New Roman" w:hAnsi="Times New Roman" w:cs="Times New Roman"/>
          <w:sz w:val="22"/>
          <w:szCs w:val="22"/>
        </w:rPr>
        <w:t>En conjunto con la participación activa de todas y todos los integrantes del grupo, se presentarán y abordarán de manera progresiva las preguntas que se detallan a continuación:</w:t>
      </w:r>
    </w:p>
    <w:p w:rsidR="00790818" w:rsidRDefault="00790818" w:rsidP="0094262A">
      <w:pPr>
        <w:pStyle w:val="Prrafodelista"/>
        <w:tabs>
          <w:tab w:val="center" w:pos="4419"/>
          <w:tab w:val="left" w:pos="6486"/>
        </w:tabs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:rsidR="00C95341" w:rsidRPr="0094262A" w:rsidRDefault="00790818" w:rsidP="0094262A">
      <w:pPr>
        <w:pStyle w:val="Prrafodelista"/>
        <w:tabs>
          <w:tab w:val="center" w:pos="4419"/>
          <w:tab w:val="left" w:pos="6486"/>
        </w:tabs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="008B35C4">
        <w:rPr>
          <w:rFonts w:ascii="Times New Roman" w:hAnsi="Times New Roman" w:cs="Times New Roman"/>
          <w:sz w:val="22"/>
          <w:szCs w:val="22"/>
        </w:rPr>
        <w:t xml:space="preserve"> </w:t>
      </w:r>
      <w:r w:rsidR="00C95341" w:rsidRPr="0094262A">
        <w:rPr>
          <w:rFonts w:ascii="Times New Roman" w:hAnsi="Times New Roman" w:cs="Times New Roman"/>
          <w:sz w:val="22"/>
          <w:szCs w:val="22"/>
        </w:rPr>
        <w:t>Resuma los hechos</w:t>
      </w:r>
    </w:p>
    <w:p w:rsidR="00790818" w:rsidRDefault="00EE5713" w:rsidP="00790818">
      <w:p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8B35C4">
        <w:rPr>
          <w:rFonts w:ascii="Times New Roman" w:hAnsi="Times New Roman" w:cs="Times New Roman"/>
          <w:sz w:val="22"/>
          <w:szCs w:val="22"/>
        </w:rPr>
        <w:t xml:space="preserve">    </w:t>
      </w:r>
      <w:r w:rsidR="00790818">
        <w:rPr>
          <w:rFonts w:ascii="Times New Roman" w:hAnsi="Times New Roman" w:cs="Times New Roman"/>
          <w:sz w:val="22"/>
          <w:szCs w:val="22"/>
        </w:rPr>
        <w:t xml:space="preserve">2. </w:t>
      </w:r>
      <w:r w:rsidR="00C95341" w:rsidRPr="0094262A">
        <w:rPr>
          <w:rFonts w:ascii="Times New Roman" w:hAnsi="Times New Roman" w:cs="Times New Roman"/>
          <w:sz w:val="22"/>
          <w:szCs w:val="22"/>
        </w:rPr>
        <w:t>Identifique los derechos violados</w:t>
      </w:r>
    </w:p>
    <w:p w:rsidR="0072273F" w:rsidRDefault="00790818" w:rsidP="00790818">
      <w:pPr>
        <w:tabs>
          <w:tab w:val="center" w:pos="4419"/>
          <w:tab w:val="left" w:pos="6486"/>
        </w:tabs>
        <w:ind w:left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      3. </w:t>
      </w:r>
      <w:r w:rsidR="0072273F">
        <w:rPr>
          <w:rFonts w:ascii="Times New Roman" w:hAnsi="Times New Roman" w:cs="Times New Roman"/>
          <w:sz w:val="22"/>
          <w:szCs w:val="22"/>
        </w:rPr>
        <w:t xml:space="preserve"> Cuáles son los pronunciamientos de la Corte Interamericana en torno al Derecho </w:t>
      </w:r>
      <w:r>
        <w:rPr>
          <w:rFonts w:ascii="Times New Roman" w:hAnsi="Times New Roman" w:cs="Times New Roman"/>
          <w:sz w:val="22"/>
          <w:szCs w:val="22"/>
        </w:rPr>
        <w:t>del niño de conocer su filiación y garantizarle su vínculo familiar, al igual que, el derecho a proteger los derechos de los padres biológicos en procesos de adopción?</w:t>
      </w:r>
    </w:p>
    <w:p w:rsidR="0094262A" w:rsidRPr="0094262A" w:rsidRDefault="00790818" w:rsidP="00790818">
      <w:pPr>
        <w:tabs>
          <w:tab w:val="center" w:pos="4419"/>
          <w:tab w:val="left" w:pos="6486"/>
        </w:tabs>
        <w:ind w:left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</w:t>
      </w:r>
      <w:r w:rsidR="00EE5713" w:rsidRPr="0094262A">
        <w:rPr>
          <w:rFonts w:ascii="Times New Roman" w:hAnsi="Times New Roman" w:cs="Times New Roman"/>
          <w:sz w:val="22"/>
          <w:szCs w:val="22"/>
        </w:rPr>
        <w:t xml:space="preserve">¿Puede el juzgador utilizar el interés superior del niño para </w:t>
      </w:r>
      <w:r>
        <w:rPr>
          <w:rFonts w:ascii="Times New Roman" w:hAnsi="Times New Roman" w:cs="Times New Roman"/>
          <w:sz w:val="22"/>
          <w:szCs w:val="22"/>
        </w:rPr>
        <w:t xml:space="preserve">discriminar por perspectiva de género, estereotipos de pobreza y clase de familia, </w:t>
      </w:r>
      <w:r w:rsidRPr="0094262A">
        <w:rPr>
          <w:rFonts w:ascii="Times New Roman" w:hAnsi="Times New Roman" w:cs="Times New Roman"/>
          <w:sz w:val="22"/>
          <w:szCs w:val="22"/>
        </w:rPr>
        <w:t>en</w:t>
      </w:r>
      <w:r w:rsidR="00EE5713" w:rsidRPr="0094262A">
        <w:rPr>
          <w:rFonts w:ascii="Times New Roman" w:hAnsi="Times New Roman" w:cs="Times New Roman"/>
          <w:sz w:val="22"/>
          <w:szCs w:val="22"/>
        </w:rPr>
        <w:t xml:space="preserve"> contra de la madre o del padre?</w:t>
      </w:r>
      <w:r w:rsidR="0094262A" w:rsidRPr="0094262A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:rsidR="000B5816" w:rsidRPr="00795D65" w:rsidRDefault="00790818" w:rsidP="00795D65">
      <w:p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                5. </w:t>
      </w:r>
      <w:r w:rsidR="0094262A" w:rsidRPr="0094262A">
        <w:rPr>
          <w:rFonts w:ascii="Times New Roman" w:hAnsi="Times New Roman" w:cs="Times New Roman"/>
          <w:sz w:val="22"/>
          <w:szCs w:val="22"/>
        </w:rPr>
        <w:t xml:space="preserve">¿Cuáles son las apreciaciones de la Corte </w:t>
      </w:r>
      <w:r>
        <w:rPr>
          <w:rFonts w:ascii="Times New Roman" w:hAnsi="Times New Roman" w:cs="Times New Roman"/>
          <w:sz w:val="22"/>
          <w:szCs w:val="22"/>
        </w:rPr>
        <w:t>respecto de</w:t>
      </w:r>
      <w:r w:rsidRPr="00790818">
        <w:rPr>
          <w:rFonts w:ascii="Times New Roman" w:hAnsi="Times New Roman" w:cs="Times New Roman"/>
          <w:sz w:val="22"/>
          <w:szCs w:val="22"/>
        </w:rPr>
        <w:t xml:space="preserve"> las autoridades provinciales</w:t>
      </w:r>
      <w:r>
        <w:rPr>
          <w:rFonts w:ascii="Times New Roman" w:hAnsi="Times New Roman" w:cs="Times New Roman"/>
          <w:sz w:val="22"/>
          <w:szCs w:val="22"/>
        </w:rPr>
        <w:t>, donde</w:t>
      </w:r>
      <w:r w:rsidRPr="00790818">
        <w:rPr>
          <w:rFonts w:ascii="Times New Roman" w:hAnsi="Times New Roman" w:cs="Times New Roman"/>
          <w:sz w:val="22"/>
          <w:szCs w:val="22"/>
        </w:rPr>
        <w:t xml:space="preserve"> no tuvieron en cuenta los efectos que el tiempo tendría sobre los derechos del</w:t>
      </w:r>
      <w:r>
        <w:rPr>
          <w:rFonts w:ascii="Times New Roman" w:hAnsi="Times New Roman" w:cs="Times New Roman"/>
          <w:sz w:val="22"/>
          <w:szCs w:val="22"/>
        </w:rPr>
        <w:t xml:space="preserve"> señor </w:t>
      </w:r>
      <w:r w:rsidRPr="00790818">
        <w:rPr>
          <w:rFonts w:ascii="Times New Roman" w:hAnsi="Times New Roman" w:cs="Times New Roman"/>
          <w:sz w:val="22"/>
          <w:szCs w:val="22"/>
        </w:rPr>
        <w:t>Fornerón</w:t>
      </w:r>
      <w:r w:rsidRPr="00790818">
        <w:rPr>
          <w:rFonts w:ascii="Times New Roman" w:hAnsi="Times New Roman" w:cs="Times New Roman"/>
          <w:sz w:val="22"/>
          <w:szCs w:val="22"/>
        </w:rPr>
        <w:t xml:space="preserve"> y de su hija, en consideración del interés superior de la niña</w:t>
      </w:r>
      <w:r>
        <w:rPr>
          <w:rFonts w:ascii="Times New Roman" w:hAnsi="Times New Roman" w:cs="Times New Roman"/>
          <w:sz w:val="22"/>
          <w:szCs w:val="22"/>
        </w:rPr>
        <w:t xml:space="preserve">, cuando había transcurrido un lapso de tiempo de diez años, en donde no </w:t>
      </w:r>
      <w:r w:rsidRPr="00790818">
        <w:rPr>
          <w:rFonts w:ascii="Times New Roman" w:hAnsi="Times New Roman" w:cs="Times New Roman"/>
          <w:sz w:val="22"/>
          <w:szCs w:val="22"/>
        </w:rPr>
        <w:t>establecieron</w:t>
      </w:r>
      <w:r w:rsidRPr="00790818">
        <w:rPr>
          <w:rFonts w:ascii="Times New Roman" w:hAnsi="Times New Roman" w:cs="Times New Roman"/>
          <w:sz w:val="22"/>
          <w:szCs w:val="22"/>
        </w:rPr>
        <w:t xml:space="preserve"> un régimen de visitas</w:t>
      </w:r>
      <w:r>
        <w:rPr>
          <w:rFonts w:ascii="Times New Roman" w:hAnsi="Times New Roman" w:cs="Times New Roman"/>
          <w:sz w:val="22"/>
          <w:szCs w:val="22"/>
        </w:rPr>
        <w:t>?</w:t>
      </w:r>
    </w:p>
    <w:p w:rsidR="00B80BB7" w:rsidRPr="009B14BB" w:rsidRDefault="00B80BB7" w:rsidP="00B80BB7">
      <w:pPr>
        <w:pStyle w:val="Prrafodelista"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>
        <w:rPr>
          <w:rFonts w:ascii="Times New Roman" w:hAnsi="Times New Roman" w:cs="Times New Roman"/>
          <w:b/>
          <w:sz w:val="22"/>
          <w:szCs w:val="22"/>
          <w:lang w:val="es-ES"/>
        </w:rPr>
        <w:t xml:space="preserve">Jueves 21 de agosto </w:t>
      </w:r>
      <w:r w:rsidRPr="00B80BB7">
        <w:rPr>
          <w:rFonts w:ascii="Times New Roman" w:hAnsi="Times New Roman" w:cs="Times New Roman"/>
          <w:b/>
          <w:sz w:val="22"/>
          <w:szCs w:val="22"/>
          <w:lang w:val="es-ES"/>
        </w:rPr>
        <w:t xml:space="preserve">de 2025 Hora: </w:t>
      </w:r>
      <w:r>
        <w:rPr>
          <w:rFonts w:ascii="Times New Roman" w:hAnsi="Times New Roman" w:cs="Times New Roman"/>
          <w:b/>
          <w:sz w:val="22"/>
          <w:szCs w:val="22"/>
          <w:lang w:val="es-ES"/>
        </w:rPr>
        <w:t>4:00 – 6:00 p.m.</w:t>
      </w:r>
      <w:r w:rsidRPr="00B80BB7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: Socialización y Discusión de las </w:t>
      </w:r>
      <w:r w:rsidR="001046A9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siguientes </w:t>
      </w:r>
      <w:r w:rsidRPr="00B80BB7">
        <w:rPr>
          <w:rFonts w:ascii="Times New Roman" w:hAnsi="Times New Roman" w:cs="Times New Roman"/>
          <w:bCs/>
          <w:sz w:val="22"/>
          <w:szCs w:val="22"/>
          <w:lang w:val="es-ES"/>
        </w:rPr>
        <w:t>sentencias</w:t>
      </w:r>
      <w:r w:rsidR="009B14BB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que debaten sobre la Protección jurídica de los niño, niñas y adolescente y el proceso administrativo de restablecimiento de derechos:</w:t>
      </w:r>
    </w:p>
    <w:p w:rsidR="009B14BB" w:rsidRPr="009E23C4" w:rsidRDefault="009E23C4" w:rsidP="009B14BB">
      <w:pPr>
        <w:pStyle w:val="Prrafodelista"/>
        <w:numPr>
          <w:ilvl w:val="0"/>
          <w:numId w:val="5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9E23C4">
        <w:rPr>
          <w:rFonts w:ascii="Times New Roman" w:hAnsi="Times New Roman" w:cs="Times New Roman"/>
          <w:bCs/>
          <w:sz w:val="22"/>
          <w:szCs w:val="22"/>
          <w:lang w:val="es-ES"/>
        </w:rPr>
        <w:t>T-526 de 2023</w:t>
      </w:r>
    </w:p>
    <w:p w:rsidR="009E23C4" w:rsidRPr="009E23C4" w:rsidRDefault="009E23C4" w:rsidP="009B14BB">
      <w:pPr>
        <w:pStyle w:val="Prrafodelista"/>
        <w:numPr>
          <w:ilvl w:val="0"/>
          <w:numId w:val="5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9E23C4">
        <w:rPr>
          <w:rFonts w:ascii="Times New Roman" w:hAnsi="Times New Roman" w:cs="Times New Roman"/>
          <w:sz w:val="22"/>
          <w:szCs w:val="22"/>
        </w:rPr>
        <w:t xml:space="preserve">T-462 de 2018 </w:t>
      </w:r>
    </w:p>
    <w:p w:rsidR="009E23C4" w:rsidRPr="009E23C4" w:rsidRDefault="009E23C4" w:rsidP="009B14BB">
      <w:pPr>
        <w:pStyle w:val="Prrafodelista"/>
        <w:numPr>
          <w:ilvl w:val="0"/>
          <w:numId w:val="5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9E23C4">
        <w:rPr>
          <w:rFonts w:ascii="Times New Roman" w:hAnsi="Times New Roman" w:cs="Times New Roman"/>
          <w:sz w:val="22"/>
          <w:szCs w:val="22"/>
        </w:rPr>
        <w:t xml:space="preserve"> T-028 de 2023</w:t>
      </w:r>
    </w:p>
    <w:p w:rsidR="009E23C4" w:rsidRDefault="009E23C4" w:rsidP="009B14BB">
      <w:pPr>
        <w:pStyle w:val="Prrafodelista"/>
        <w:numPr>
          <w:ilvl w:val="0"/>
          <w:numId w:val="5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>
        <w:rPr>
          <w:rFonts w:ascii="Times New Roman" w:hAnsi="Times New Roman" w:cs="Times New Roman"/>
          <w:bCs/>
          <w:sz w:val="22"/>
          <w:szCs w:val="22"/>
          <w:lang w:val="es-ES"/>
        </w:rPr>
        <w:t>T-121 de 2024</w:t>
      </w:r>
    </w:p>
    <w:p w:rsidR="009E23C4" w:rsidRPr="009E23C4" w:rsidRDefault="00A85291" w:rsidP="009B14BB">
      <w:pPr>
        <w:pStyle w:val="Prrafodelista"/>
        <w:numPr>
          <w:ilvl w:val="0"/>
          <w:numId w:val="5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>
        <w:rPr>
          <w:rFonts w:ascii="Times New Roman" w:hAnsi="Times New Roman" w:cs="Times New Roman"/>
          <w:bCs/>
          <w:sz w:val="22"/>
          <w:szCs w:val="22"/>
          <w:lang w:val="es-ES"/>
        </w:rPr>
        <w:t>T-325 de 2023</w:t>
      </w:r>
    </w:p>
    <w:p w:rsidR="00B80BB7" w:rsidRPr="00B80BB7" w:rsidRDefault="00B80BB7" w:rsidP="00B80BB7">
      <w:pPr>
        <w:pStyle w:val="Prrafodelista"/>
        <w:rPr>
          <w:rFonts w:ascii="Times New Roman" w:hAnsi="Times New Roman" w:cs="Times New Roman"/>
          <w:b/>
          <w:sz w:val="22"/>
          <w:szCs w:val="22"/>
          <w:lang w:val="es-ES"/>
        </w:rPr>
      </w:pPr>
    </w:p>
    <w:p w:rsidR="00B80BB7" w:rsidRPr="00B80BB7" w:rsidRDefault="00B80BB7" w:rsidP="00B80BB7">
      <w:pPr>
        <w:pStyle w:val="Prrafodelista"/>
        <w:spacing w:line="360" w:lineRule="auto"/>
        <w:ind w:left="1080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</w:p>
    <w:p w:rsidR="00B80BB7" w:rsidRPr="00B80BB7" w:rsidRDefault="00B80BB7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</w:p>
    <w:p w:rsidR="00B80BB7" w:rsidRPr="00B80BB7" w:rsidRDefault="00B80BB7" w:rsidP="00B80BB7">
      <w:pPr>
        <w:pStyle w:val="Prrafodelista"/>
        <w:spacing w:line="360" w:lineRule="auto"/>
        <w:ind w:left="1080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B80BB7">
        <w:rPr>
          <w:rFonts w:ascii="Times New Roman" w:hAnsi="Times New Roman" w:cs="Times New Roman"/>
          <w:b/>
          <w:sz w:val="22"/>
          <w:szCs w:val="22"/>
          <w:lang w:val="es-ES"/>
        </w:rPr>
        <w:t>METODOLOGÍA:</w:t>
      </w:r>
    </w:p>
    <w:p w:rsidR="00B80BB7" w:rsidRPr="00B80BB7" w:rsidRDefault="00B80BB7" w:rsidP="00B80BB7">
      <w:pPr>
        <w:pStyle w:val="Prrafodelista"/>
        <w:spacing w:line="360" w:lineRule="auto"/>
        <w:ind w:left="1080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 w:rsidRPr="00B80BB7">
        <w:rPr>
          <w:rFonts w:ascii="Times New Roman" w:hAnsi="Times New Roman" w:cs="Times New Roman"/>
          <w:sz w:val="22"/>
          <w:szCs w:val="22"/>
          <w:lang w:val="es-ES"/>
        </w:rPr>
        <w:t xml:space="preserve">Los estudiantes se organizarán por grupos para la </w:t>
      </w:r>
      <w:r w:rsidR="001046A9">
        <w:rPr>
          <w:rFonts w:ascii="Times New Roman" w:hAnsi="Times New Roman" w:cs="Times New Roman"/>
          <w:sz w:val="22"/>
          <w:szCs w:val="22"/>
          <w:lang w:val="es-ES"/>
        </w:rPr>
        <w:t>presentación y exposición de las infografías y la socialización de las sentencias, ayudándose a través de medio audiovisuales.</w:t>
      </w:r>
    </w:p>
    <w:p w:rsidR="00B80BB7" w:rsidRPr="00B80BB7" w:rsidRDefault="00B80BB7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 w:rsidRPr="00B80BB7">
        <w:rPr>
          <w:rFonts w:ascii="Times New Roman" w:hAnsi="Times New Roman" w:cs="Times New Roman"/>
          <w:sz w:val="22"/>
          <w:szCs w:val="22"/>
          <w:lang w:val="es-ES"/>
        </w:rPr>
        <w:t xml:space="preserve">      </w:t>
      </w:r>
    </w:p>
    <w:p w:rsidR="00B80BB7" w:rsidRPr="00B80BB7" w:rsidRDefault="00B80BB7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</w:p>
    <w:p w:rsidR="00B80BB7" w:rsidRPr="00B80BB7" w:rsidRDefault="00B80BB7" w:rsidP="00B80BB7">
      <w:pPr>
        <w:pStyle w:val="Prrafodelista"/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80BB7">
        <w:rPr>
          <w:rFonts w:ascii="Times New Roman" w:hAnsi="Times New Roman" w:cs="Times New Roman"/>
          <w:b/>
          <w:sz w:val="22"/>
          <w:szCs w:val="22"/>
        </w:rPr>
        <w:t>EVALUACIÓN:</w:t>
      </w:r>
    </w:p>
    <w:p w:rsidR="00B80BB7" w:rsidRPr="00B80BB7" w:rsidRDefault="00B80BB7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 w:rsidRPr="00B80BB7">
        <w:rPr>
          <w:rFonts w:ascii="Times New Roman" w:hAnsi="Times New Roman" w:cs="Times New Roman"/>
          <w:sz w:val="22"/>
          <w:szCs w:val="22"/>
          <w:lang w:val="es-ES"/>
        </w:rPr>
        <w:t>La evaluación será numérica con nota entre 0.0 y 5.0, compuesta así:</w:t>
      </w:r>
    </w:p>
    <w:p w:rsidR="00B80BB7" w:rsidRPr="00B80BB7" w:rsidRDefault="00B80BB7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</w:p>
    <w:p w:rsidR="00B80BB7" w:rsidRPr="00B80BB7" w:rsidRDefault="00B80BB7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 w:rsidRPr="00B80BB7">
        <w:rPr>
          <w:rFonts w:ascii="Times New Roman" w:hAnsi="Times New Roman" w:cs="Times New Roman"/>
          <w:sz w:val="22"/>
          <w:szCs w:val="22"/>
          <w:lang w:val="es-ES"/>
        </w:rPr>
        <w:t xml:space="preserve">Participación en clase </w:t>
      </w:r>
      <w:r w:rsidRPr="00B80BB7">
        <w:rPr>
          <w:rFonts w:ascii="Times New Roman" w:hAnsi="Times New Roman" w:cs="Times New Roman"/>
          <w:sz w:val="22"/>
          <w:szCs w:val="22"/>
          <w:lang w:val="es-ES"/>
        </w:rPr>
        <w:tab/>
      </w:r>
      <w:r w:rsidRPr="00B80BB7">
        <w:rPr>
          <w:rFonts w:ascii="Times New Roman" w:hAnsi="Times New Roman" w:cs="Times New Roman"/>
          <w:sz w:val="22"/>
          <w:szCs w:val="22"/>
          <w:lang w:val="es-ES"/>
        </w:rPr>
        <w:tab/>
      </w:r>
      <w:r w:rsidR="001046A9">
        <w:rPr>
          <w:rFonts w:ascii="Times New Roman" w:hAnsi="Times New Roman" w:cs="Times New Roman"/>
          <w:sz w:val="22"/>
          <w:szCs w:val="22"/>
          <w:lang w:val="es-ES"/>
        </w:rPr>
        <w:tab/>
      </w:r>
      <w:r w:rsidR="001046A9">
        <w:rPr>
          <w:rFonts w:ascii="Times New Roman" w:hAnsi="Times New Roman" w:cs="Times New Roman"/>
          <w:sz w:val="22"/>
          <w:szCs w:val="22"/>
          <w:lang w:val="es-ES"/>
        </w:rPr>
        <w:tab/>
      </w:r>
      <w:r w:rsidR="001046A9">
        <w:rPr>
          <w:rFonts w:ascii="Times New Roman" w:hAnsi="Times New Roman" w:cs="Times New Roman"/>
          <w:sz w:val="22"/>
          <w:szCs w:val="22"/>
          <w:lang w:val="es-ES"/>
        </w:rPr>
        <w:tab/>
      </w:r>
      <w:r w:rsidR="001046A9">
        <w:rPr>
          <w:rFonts w:ascii="Times New Roman" w:hAnsi="Times New Roman" w:cs="Times New Roman"/>
          <w:sz w:val="22"/>
          <w:szCs w:val="22"/>
          <w:lang w:val="es-ES"/>
        </w:rPr>
        <w:tab/>
      </w:r>
      <w:r w:rsidR="001046A9">
        <w:rPr>
          <w:rFonts w:ascii="Times New Roman" w:hAnsi="Times New Roman" w:cs="Times New Roman"/>
          <w:sz w:val="22"/>
          <w:szCs w:val="22"/>
          <w:lang w:val="es-ES"/>
        </w:rPr>
        <w:tab/>
      </w:r>
      <w:r w:rsidR="001046A9">
        <w:rPr>
          <w:rFonts w:ascii="Times New Roman" w:hAnsi="Times New Roman" w:cs="Times New Roman"/>
          <w:sz w:val="22"/>
          <w:szCs w:val="22"/>
          <w:lang w:val="es-ES"/>
        </w:rPr>
        <w:tab/>
        <w:t>2</w:t>
      </w:r>
      <w:r w:rsidRPr="00B80BB7">
        <w:rPr>
          <w:rFonts w:ascii="Times New Roman" w:hAnsi="Times New Roman" w:cs="Times New Roman"/>
          <w:sz w:val="22"/>
          <w:szCs w:val="22"/>
          <w:lang w:val="es-ES"/>
        </w:rPr>
        <w:t>0%</w:t>
      </w:r>
    </w:p>
    <w:p w:rsidR="00B80BB7" w:rsidRDefault="001046A9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rFonts w:ascii="Times New Roman" w:hAnsi="Times New Roman" w:cs="Times New Roman"/>
          <w:sz w:val="22"/>
          <w:szCs w:val="22"/>
          <w:lang w:val="es-ES"/>
        </w:rPr>
        <w:t xml:space="preserve">Presentación Infografía </w:t>
      </w:r>
      <w:r w:rsidR="00B80BB7" w:rsidRPr="00B80BB7">
        <w:rPr>
          <w:rFonts w:ascii="Times New Roman" w:hAnsi="Times New Roman" w:cs="Times New Roman"/>
          <w:sz w:val="22"/>
          <w:szCs w:val="22"/>
          <w:lang w:val="es-ES"/>
        </w:rPr>
        <w:tab/>
      </w:r>
      <w:r w:rsidR="00B80BB7" w:rsidRPr="00B80BB7">
        <w:rPr>
          <w:rFonts w:ascii="Times New Roman" w:hAnsi="Times New Roman" w:cs="Times New Roman"/>
          <w:sz w:val="22"/>
          <w:szCs w:val="22"/>
          <w:lang w:val="es-ES"/>
        </w:rPr>
        <w:tab/>
      </w:r>
      <w:r w:rsidR="00B80BB7" w:rsidRPr="00B80BB7">
        <w:rPr>
          <w:rFonts w:ascii="Times New Roman" w:hAnsi="Times New Roman" w:cs="Times New Roman"/>
          <w:sz w:val="22"/>
          <w:szCs w:val="22"/>
          <w:lang w:val="es-ES"/>
        </w:rPr>
        <w:tab/>
      </w:r>
      <w:r w:rsidR="00B80BB7" w:rsidRPr="00B80BB7"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  <w:t>30%</w:t>
      </w:r>
    </w:p>
    <w:p w:rsidR="001046A9" w:rsidRDefault="001046A9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rFonts w:ascii="Times New Roman" w:hAnsi="Times New Roman" w:cs="Times New Roman"/>
          <w:sz w:val="22"/>
          <w:szCs w:val="22"/>
          <w:lang w:val="es-ES"/>
        </w:rPr>
        <w:t>Socialización de sentencias</w:t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 w:rsidR="00795D65">
        <w:rPr>
          <w:rFonts w:ascii="Times New Roman" w:hAnsi="Times New Roman" w:cs="Times New Roman"/>
          <w:sz w:val="22"/>
          <w:szCs w:val="22"/>
          <w:lang w:val="es-ES"/>
        </w:rPr>
        <w:t>3</w:t>
      </w:r>
      <w:r>
        <w:rPr>
          <w:rFonts w:ascii="Times New Roman" w:hAnsi="Times New Roman" w:cs="Times New Roman"/>
          <w:sz w:val="22"/>
          <w:szCs w:val="22"/>
          <w:lang w:val="es-ES"/>
        </w:rPr>
        <w:t>0%</w:t>
      </w:r>
    </w:p>
    <w:p w:rsidR="001046A9" w:rsidRPr="00B80BB7" w:rsidRDefault="001046A9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  <w:r>
        <w:rPr>
          <w:rFonts w:ascii="Times New Roman" w:hAnsi="Times New Roman" w:cs="Times New Roman"/>
          <w:sz w:val="22"/>
          <w:szCs w:val="22"/>
          <w:lang w:val="es-ES"/>
        </w:rPr>
        <w:t>Debate y/o respuesta a preguntas Caso Fornerón e hija Vs. Argentina</w:t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>
        <w:rPr>
          <w:rFonts w:ascii="Times New Roman" w:hAnsi="Times New Roman" w:cs="Times New Roman"/>
          <w:sz w:val="22"/>
          <w:szCs w:val="22"/>
          <w:lang w:val="es-ES"/>
        </w:rPr>
        <w:tab/>
      </w:r>
      <w:r w:rsidR="00795D65">
        <w:rPr>
          <w:rFonts w:ascii="Times New Roman" w:hAnsi="Times New Roman" w:cs="Times New Roman"/>
          <w:sz w:val="22"/>
          <w:szCs w:val="22"/>
          <w:lang w:val="es-ES"/>
        </w:rPr>
        <w:t>2</w:t>
      </w:r>
      <w:r>
        <w:rPr>
          <w:rFonts w:ascii="Times New Roman" w:hAnsi="Times New Roman" w:cs="Times New Roman"/>
          <w:sz w:val="22"/>
          <w:szCs w:val="22"/>
          <w:lang w:val="es-ES"/>
        </w:rPr>
        <w:t>0%</w:t>
      </w:r>
    </w:p>
    <w:p w:rsidR="00B80BB7" w:rsidRPr="00B80BB7" w:rsidRDefault="00B80BB7" w:rsidP="00B80BB7">
      <w:pPr>
        <w:pStyle w:val="Prrafodelista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s-ES"/>
        </w:rPr>
      </w:pPr>
    </w:p>
    <w:p w:rsidR="00B80BB7" w:rsidRPr="00B80BB7" w:rsidRDefault="00B80BB7" w:rsidP="00B80BB7">
      <w:pPr>
        <w:pStyle w:val="Prrafodelista"/>
        <w:numPr>
          <w:ilvl w:val="0"/>
          <w:numId w:val="1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B80BB7">
        <w:rPr>
          <w:rFonts w:ascii="Times New Roman" w:hAnsi="Times New Roman" w:cs="Times New Roman"/>
          <w:b/>
          <w:sz w:val="22"/>
          <w:szCs w:val="22"/>
          <w:lang w:val="es-ES"/>
        </w:rPr>
        <w:t>BIBLIOGRAFÍA: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Código Civil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Código de la Infancia y la Adolescencia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Comisión Interamericana de Derechos Humanos recuperado de </w:t>
      </w:r>
      <w:hyperlink r:id="rId7" w:history="1">
        <w:r w:rsidRPr="002672F4">
          <w:rPr>
            <w:rFonts w:ascii="Times New Roman" w:eastAsia="Times New Roman" w:hAnsi="Times New Roman" w:cs="Times New Roman"/>
            <w:sz w:val="22"/>
            <w:szCs w:val="22"/>
            <w:lang w:eastAsia="es-CO"/>
          </w:rPr>
          <w:t>http://www.oas.org/es/cidh/decisiones/casos.asp</w:t>
        </w:r>
      </w:hyperlink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Comité de los Derechos del Niño recuperado de  </w:t>
      </w:r>
      <w:hyperlink r:id="rId8" w:history="1">
        <w:r w:rsidRPr="002672F4">
          <w:rPr>
            <w:rFonts w:ascii="Times New Roman" w:eastAsia="Times New Roman" w:hAnsi="Times New Roman" w:cs="Times New Roman"/>
            <w:sz w:val="22"/>
            <w:szCs w:val="22"/>
            <w:lang w:eastAsia="es-CO"/>
          </w:rPr>
          <w:t>https://www2.ohchr.org/spanish/bodies/crc/</w:t>
        </w:r>
      </w:hyperlink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Conferencia de Derecho Internacional Privado de La Haya recuperado de  </w:t>
      </w:r>
      <w:hyperlink r:id="rId9" w:history="1">
        <w:r w:rsidRPr="002672F4">
          <w:rPr>
            <w:rFonts w:ascii="Times New Roman" w:eastAsia="Times New Roman" w:hAnsi="Times New Roman" w:cs="Times New Roman"/>
            <w:sz w:val="22"/>
            <w:szCs w:val="22"/>
            <w:lang w:eastAsia="es-CO"/>
          </w:rPr>
          <w:t>https://www.hcch.net/es/about</w:t>
        </w:r>
      </w:hyperlink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Constitución Política de Colombia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lastRenderedPageBreak/>
        <w:t>Corte Interamericana de Derechos Humanos, Sentencia Caso Penal de Castro Castro Vs. Perú 25 de noviembre de 2006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CORREDOR ESPITIA, J. D. (2008) Conflictos en El Derecho de Familia y su vivencia en la práctica judicial. Aspectos sustanciales, procedimentales y jurisprudenciales. Bogotá D.C.: Ediciones Doctrina y Ley Ltda., 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Corte Interamericana de Derechos Humanos 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DOMÍNGUEZ GIRALDO, L. A. (2018). Procedimientos de familia ante los comisarios y defensores de familia, competencia de los notarios y jueces de familia. – Código General del Proceso- (Comentarios, jurisprudencia, práctica forense). (1ª. Ed.). Bogotá D.C.: Librería Jurídica Sánchez R. Ltda.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ESCUDERO ALZATA, M. C. (2009). Mecanismos de protección y participación de la mujer (8ª. Edición). Bogotá D.C: Leyer.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FERNÁNDEZ DE LOS CAMPOS, A.  (2010). La Prevención del Maltrato Intrafamiliar a los Niños, Bogotá D.C.: Editorial Leyer.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GARCIA MENDEZ, Emilio. (1999) Derecho de la Infancia - Adolescencia en América Latina: De la situación irregular a la protección integral, recuperad</w:t>
      </w:r>
      <w:r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o </w:t>
      </w: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https://aularedim.net/diplomado/docs/M2/M21.pdf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GARCIA MENDEZ, Emilio – BELOFF, Mary (compiladores). (1999). Infancia, Ley y Democracia en América Latina. (2ª. Ed.). Santafé de Bogotá – Buenos Aires:  Editorial Temis – Ediciones Depalma.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MONROY CABRA, Gerardo. (2009). Derecho de Familia, Infancia y Adolescencia. (12ª. Ed.). Bogotá D.C.: Librería Ediciones del Profesional Ltda.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Organización de Estados Americanos, OEA, recuperado de </w:t>
      </w:r>
      <w:hyperlink r:id="rId10" w:history="1">
        <w:r w:rsidRPr="002672F4">
          <w:rPr>
            <w:rFonts w:ascii="Times New Roman" w:eastAsia="Times New Roman" w:hAnsi="Times New Roman" w:cs="Times New Roman"/>
            <w:sz w:val="22"/>
            <w:szCs w:val="22"/>
            <w:lang w:eastAsia="es-CO"/>
          </w:rPr>
          <w:t>http://www.oas.org/es/sla/ddi/tratados_acuerdos.asp</w:t>
        </w:r>
      </w:hyperlink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lastRenderedPageBreak/>
        <w:t>ROJAS GÓMEZ, Miguel E. (2008). Restablecimiento de Derechos de la Infancia. Bogotá D.C.: Universidad de los Andes, Temis.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t>TEJEIRO LOPEZ, Carlos Enrique (1998). Teoría general de niñez y adolescencia. Colombia: UNICEF</w:t>
      </w:r>
    </w:p>
    <w:p w:rsidR="002672F4" w:rsidRPr="002672F4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672F4">
        <w:rPr>
          <w:rFonts w:ascii="Times New Roman" w:eastAsia="Times New Roman" w:hAnsi="Times New Roman" w:cs="Times New Roman"/>
          <w:sz w:val="22"/>
          <w:szCs w:val="22"/>
          <w:lang w:eastAsia="es-CO"/>
        </w:rPr>
        <w:br/>
        <w:t>Tribunal Europeo de Derechos Humanos, Sentencia caso Messegué, Barberá, Jabardo Vs España febrero 2010.</w:t>
      </w:r>
    </w:p>
    <w:p w:rsidR="002672F4" w:rsidRPr="00795D65" w:rsidRDefault="002672F4" w:rsidP="002672F4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</w:p>
    <w:p w:rsidR="00B80BB7" w:rsidRPr="00795D65" w:rsidRDefault="002672F4" w:rsidP="002672F4">
      <w:pPr>
        <w:rPr>
          <w:rFonts w:ascii="Times New Roman" w:hAnsi="Times New Roman" w:cs="Times New Roman"/>
          <w:sz w:val="22"/>
          <w:szCs w:val="22"/>
          <w:lang w:val="es-MX"/>
        </w:rPr>
      </w:pPr>
      <w:r w:rsidRPr="00795D65">
        <w:rPr>
          <w:rFonts w:ascii="Times New Roman" w:eastAsia="Times New Roman" w:hAnsi="Times New Roman" w:cs="Times New Roman"/>
          <w:sz w:val="22"/>
          <w:szCs w:val="22"/>
          <w:lang w:eastAsia="es-CO"/>
        </w:rPr>
        <w:t>UNICEF, Justicia Juvenil y Derechos Humanos en las Américas, Comisión interamericana de derechos humanos, relatoría sobre los derechos de la niñez, 13 de julio de 2011</w:t>
      </w:r>
    </w:p>
    <w:sectPr w:rsidR="00B80BB7" w:rsidRPr="00795D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F062C"/>
    <w:multiLevelType w:val="multilevel"/>
    <w:tmpl w:val="F7922A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F642C24"/>
    <w:multiLevelType w:val="hybridMultilevel"/>
    <w:tmpl w:val="58342D08"/>
    <w:lvl w:ilvl="0" w:tplc="3664F2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474A79"/>
    <w:multiLevelType w:val="multilevel"/>
    <w:tmpl w:val="7DE2B3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D19183C"/>
    <w:multiLevelType w:val="hybridMultilevel"/>
    <w:tmpl w:val="00C83658"/>
    <w:lvl w:ilvl="0" w:tplc="67860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72579B"/>
    <w:multiLevelType w:val="multilevel"/>
    <w:tmpl w:val="26727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4959652">
    <w:abstractNumId w:val="2"/>
  </w:num>
  <w:num w:numId="2" w16cid:durableId="90588455">
    <w:abstractNumId w:val="1"/>
  </w:num>
  <w:num w:numId="3" w16cid:durableId="38554945">
    <w:abstractNumId w:val="0"/>
  </w:num>
  <w:num w:numId="4" w16cid:durableId="375550425">
    <w:abstractNumId w:val="4"/>
  </w:num>
  <w:num w:numId="5" w16cid:durableId="1710490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BB7"/>
    <w:rsid w:val="00060093"/>
    <w:rsid w:val="000B5816"/>
    <w:rsid w:val="001046A9"/>
    <w:rsid w:val="001047CD"/>
    <w:rsid w:val="002672F4"/>
    <w:rsid w:val="002C760C"/>
    <w:rsid w:val="005555B6"/>
    <w:rsid w:val="005B2ABE"/>
    <w:rsid w:val="0072273F"/>
    <w:rsid w:val="007242C9"/>
    <w:rsid w:val="00790818"/>
    <w:rsid w:val="00795D65"/>
    <w:rsid w:val="008B35C4"/>
    <w:rsid w:val="008E3BCC"/>
    <w:rsid w:val="0094262A"/>
    <w:rsid w:val="009B14BB"/>
    <w:rsid w:val="009E23C4"/>
    <w:rsid w:val="00A353CF"/>
    <w:rsid w:val="00A85291"/>
    <w:rsid w:val="00AA2565"/>
    <w:rsid w:val="00AA741C"/>
    <w:rsid w:val="00B43BB7"/>
    <w:rsid w:val="00B80BB7"/>
    <w:rsid w:val="00C95341"/>
    <w:rsid w:val="00EE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B2787"/>
  <w15:chartTrackingRefBased/>
  <w15:docId w15:val="{87C8FED1-FE03-41B0-A06D-0EBB9584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80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80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80B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80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80B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80B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80B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80B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80B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80B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80B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80B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80B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80BB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80B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80B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80B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80B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80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80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80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80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80B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80B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80B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80BB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80B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80BB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80BB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B80BB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B2AB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43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B43B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1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2.ohchr.org/spanish/bodies/crc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as.org/es/cidh/decisiones/casos.as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rteidh.or.cr/docs/casos/articulos/seriec_242_esp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vergel@unab.edu.co" TargetMode="External"/><Relationship Id="rId10" Type="http://schemas.openxmlformats.org/officeDocument/2006/relationships/hyperlink" Target="http://www.oas.org/es/sla/ddi/tratados_acuerdos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cch.net/es/abou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1085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VERJEL CAUSADO</dc:creator>
  <cp:keywords/>
  <dc:description/>
  <cp:lastModifiedBy>MARY VERJEL CAUSADO</cp:lastModifiedBy>
  <cp:revision>20</cp:revision>
  <dcterms:created xsi:type="dcterms:W3CDTF">2025-07-22T19:31:00Z</dcterms:created>
  <dcterms:modified xsi:type="dcterms:W3CDTF">2025-07-22T22:54:00Z</dcterms:modified>
</cp:coreProperties>
</file>